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C0B88" w:rsidRDefault="002A46B9" w:rsidP="005A3BE7">
      <w:pPr>
        <w:pStyle w:val="Heading1"/>
        <w:rPr>
          <w:sz w:val="26"/>
          <w:szCs w:val="26"/>
        </w:rPr>
      </w:pPr>
      <w:r>
        <w:rPr>
          <w:shd w:val="clear" w:color="auto" w:fill="F9FBFD"/>
        </w:rPr>
        <w:t>Content Area Expertise for Upper-Division WRS Course Instructors</w:t>
      </w:r>
    </w:p>
    <w:p w14:paraId="00000002" w14:textId="77777777" w:rsidR="00CC0B88" w:rsidRDefault="00CC0B88">
      <w:pPr>
        <w:rPr>
          <w:sz w:val="24"/>
          <w:szCs w:val="24"/>
        </w:rPr>
      </w:pPr>
    </w:p>
    <w:p w14:paraId="00000003" w14:textId="77777777" w:rsidR="00CC0B88" w:rsidRDefault="002A46B9">
      <w:pPr>
        <w:rPr>
          <w:sz w:val="24"/>
          <w:szCs w:val="24"/>
        </w:rPr>
      </w:pPr>
      <w:r>
        <w:rPr>
          <w:sz w:val="24"/>
          <w:szCs w:val="24"/>
        </w:rPr>
        <w:t xml:space="preserve">This document assumes all faculty members hired and retained to teach WRS courses evidence general competence in the teaching of writing. Upper-division course numbers also signal specialized disciplinary and/or professional content that requires specific area expertise to teach effectively.  </w:t>
      </w:r>
    </w:p>
    <w:p w14:paraId="00000004" w14:textId="77777777" w:rsidR="00CC0B88" w:rsidRDefault="00CC0B88">
      <w:pPr>
        <w:rPr>
          <w:sz w:val="24"/>
          <w:szCs w:val="24"/>
        </w:rPr>
      </w:pPr>
    </w:p>
    <w:p w14:paraId="00000005" w14:textId="77777777" w:rsidR="00CC0B88" w:rsidRDefault="002A46B9">
      <w:pPr>
        <w:rPr>
          <w:sz w:val="24"/>
          <w:szCs w:val="24"/>
        </w:rPr>
      </w:pPr>
      <w:r>
        <w:rPr>
          <w:sz w:val="24"/>
          <w:szCs w:val="24"/>
        </w:rPr>
        <w:t>The baseline requirement for teaching any 3000- or 4000-level course in Writing and Rhetoric Studies is an advanced degree in writing studies, rhetoric and composition, or a closely related field. This document outlines additional criteria for demonstrating qualifying expertise to teach specific upper-division courses.</w:t>
      </w:r>
    </w:p>
    <w:p w14:paraId="00000006" w14:textId="77777777" w:rsidR="00CC0B88" w:rsidRDefault="00CC0B88">
      <w:pPr>
        <w:rPr>
          <w:sz w:val="24"/>
          <w:szCs w:val="24"/>
        </w:rPr>
      </w:pPr>
    </w:p>
    <w:p w14:paraId="00000007" w14:textId="77777777" w:rsidR="00CC0B88" w:rsidRDefault="002A46B9" w:rsidP="005A3BE7">
      <w:pPr>
        <w:pStyle w:val="Heading2"/>
      </w:pPr>
      <w:r>
        <w:t>Demonstrating Content Area Expertise</w:t>
      </w:r>
    </w:p>
    <w:p w14:paraId="00000008" w14:textId="77777777" w:rsidR="00CC0B88" w:rsidRDefault="002A46B9">
      <w:pPr>
        <w:rPr>
          <w:sz w:val="24"/>
          <w:szCs w:val="24"/>
        </w:rPr>
      </w:pPr>
      <w:proofErr w:type="gramStart"/>
      <w:r>
        <w:rPr>
          <w:sz w:val="24"/>
          <w:szCs w:val="24"/>
        </w:rPr>
        <w:t>In order to</w:t>
      </w:r>
      <w:proofErr w:type="gramEnd"/>
      <w:r>
        <w:rPr>
          <w:sz w:val="24"/>
          <w:szCs w:val="24"/>
        </w:rPr>
        <w:t xml:space="preserve"> demonstrate content area expertise, instructors seeking to teach a 3000- or 4000-level course should have </w:t>
      </w:r>
      <w:r>
        <w:rPr>
          <w:sz w:val="24"/>
          <w:szCs w:val="24"/>
          <w:u w:val="single"/>
        </w:rPr>
        <w:t xml:space="preserve">at least 2 </w:t>
      </w:r>
      <w:r>
        <w:rPr>
          <w:sz w:val="24"/>
          <w:szCs w:val="24"/>
        </w:rPr>
        <w:t>of the following qualifications:</w:t>
      </w:r>
    </w:p>
    <w:p w14:paraId="00000009" w14:textId="77777777" w:rsidR="00CC0B88" w:rsidRDefault="002A46B9">
      <w:pPr>
        <w:numPr>
          <w:ilvl w:val="0"/>
          <w:numId w:val="2"/>
        </w:numPr>
        <w:rPr>
          <w:sz w:val="24"/>
          <w:szCs w:val="24"/>
        </w:rPr>
      </w:pPr>
      <w:r>
        <w:rPr>
          <w:sz w:val="24"/>
          <w:szCs w:val="24"/>
        </w:rPr>
        <w:t>Graduate-level coursework in the specialized content area (for example, WRTG 7060: Scientific Writing signals expertise to teach WRTG 3014: Writing in the Sciences)</w:t>
      </w:r>
    </w:p>
    <w:p w14:paraId="0000000A" w14:textId="77777777" w:rsidR="00CC0B88" w:rsidRDefault="002A46B9">
      <w:pPr>
        <w:numPr>
          <w:ilvl w:val="0"/>
          <w:numId w:val="2"/>
        </w:numPr>
        <w:rPr>
          <w:sz w:val="24"/>
          <w:szCs w:val="24"/>
        </w:rPr>
      </w:pPr>
      <w:r>
        <w:rPr>
          <w:sz w:val="24"/>
          <w:szCs w:val="24"/>
        </w:rPr>
        <w:t>Thesis or dissertation research in the specialized content area (for example, thesis or advanced dissertation research on second language writing signals expertise to teach WRTG 4010: Writing across Borders)</w:t>
      </w:r>
    </w:p>
    <w:p w14:paraId="0000000B" w14:textId="77777777" w:rsidR="00CC0B88" w:rsidRDefault="002A46B9">
      <w:pPr>
        <w:numPr>
          <w:ilvl w:val="0"/>
          <w:numId w:val="2"/>
        </w:numPr>
        <w:rPr>
          <w:sz w:val="24"/>
          <w:szCs w:val="24"/>
        </w:rPr>
      </w:pPr>
      <w:r>
        <w:rPr>
          <w:sz w:val="24"/>
          <w:szCs w:val="24"/>
        </w:rPr>
        <w:t>Experience teaching the course at the University of Utah (for example, a record of successfully teaching WRTG 3018: Writing Popular Culture signals expertise to continue teaching the course)</w:t>
      </w:r>
    </w:p>
    <w:p w14:paraId="0000000C" w14:textId="77777777" w:rsidR="00CC0B88" w:rsidRDefault="002A46B9">
      <w:pPr>
        <w:numPr>
          <w:ilvl w:val="0"/>
          <w:numId w:val="2"/>
        </w:numPr>
        <w:rPr>
          <w:sz w:val="24"/>
          <w:szCs w:val="24"/>
        </w:rPr>
      </w:pPr>
      <w:r>
        <w:rPr>
          <w:sz w:val="24"/>
          <w:szCs w:val="24"/>
        </w:rPr>
        <w:t>Experience teaching an analogous upper-division course at another institution</w:t>
      </w:r>
    </w:p>
    <w:p w14:paraId="0000000D" w14:textId="77777777" w:rsidR="00CC0B88" w:rsidRDefault="002A46B9">
      <w:pPr>
        <w:numPr>
          <w:ilvl w:val="0"/>
          <w:numId w:val="2"/>
        </w:numPr>
        <w:rPr>
          <w:sz w:val="24"/>
          <w:szCs w:val="24"/>
        </w:rPr>
      </w:pPr>
      <w:r>
        <w:rPr>
          <w:sz w:val="24"/>
          <w:szCs w:val="24"/>
        </w:rPr>
        <w:t>Relevant industry experience (for example, professional grant writing experience signals expertise to teach WRTG 4002: Grant Writing)</w:t>
      </w:r>
    </w:p>
    <w:p w14:paraId="0000000E" w14:textId="77777777" w:rsidR="00CC0B88" w:rsidRDefault="002A46B9">
      <w:pPr>
        <w:numPr>
          <w:ilvl w:val="0"/>
          <w:numId w:val="2"/>
        </w:numPr>
        <w:rPr>
          <w:sz w:val="24"/>
          <w:szCs w:val="24"/>
        </w:rPr>
      </w:pPr>
      <w:r>
        <w:rPr>
          <w:sz w:val="24"/>
          <w:szCs w:val="24"/>
        </w:rPr>
        <w:t xml:space="preserve">Publication relevant to the specialized content area in recognized academic venues (for example, publishing an article in the </w:t>
      </w:r>
      <w:r>
        <w:rPr>
          <w:i/>
          <w:sz w:val="24"/>
          <w:szCs w:val="24"/>
        </w:rPr>
        <w:t xml:space="preserve">Journal of Technical Writing and Communication </w:t>
      </w:r>
      <w:r>
        <w:rPr>
          <w:sz w:val="24"/>
          <w:szCs w:val="24"/>
        </w:rPr>
        <w:t>signals expertise to teach WRTG 3015: Professional/Technical Writing)</w:t>
      </w:r>
    </w:p>
    <w:p w14:paraId="0000000F" w14:textId="77777777" w:rsidR="00CC0B88" w:rsidRDefault="002A46B9">
      <w:pPr>
        <w:numPr>
          <w:ilvl w:val="0"/>
          <w:numId w:val="2"/>
        </w:numPr>
        <w:rPr>
          <w:sz w:val="24"/>
          <w:szCs w:val="24"/>
        </w:rPr>
      </w:pPr>
      <w:r>
        <w:rPr>
          <w:sz w:val="24"/>
          <w:szCs w:val="24"/>
        </w:rPr>
        <w:t>Relevant non-academic publication in the specialized content area (for example, publishing a narrative non-fiction magazine piece signals expertise to teach WRTG 4200: Writing Popular Nonfiction)</w:t>
      </w:r>
    </w:p>
    <w:p w14:paraId="00000010" w14:textId="77777777" w:rsidR="00CC0B88" w:rsidRDefault="002A46B9">
      <w:pPr>
        <w:numPr>
          <w:ilvl w:val="0"/>
          <w:numId w:val="2"/>
        </w:numPr>
        <w:rPr>
          <w:sz w:val="24"/>
          <w:szCs w:val="24"/>
        </w:rPr>
      </w:pPr>
      <w:r>
        <w:rPr>
          <w:sz w:val="24"/>
          <w:szCs w:val="24"/>
        </w:rPr>
        <w:lastRenderedPageBreak/>
        <w:t>Multiple presentations relevant the specialized content area at recognized academic conferences (for example, conference presentations related to visual rhetoric theory, practice, or pedagogy signal expertise to teach WRTG 4030: Visual Rhetoric)</w:t>
      </w:r>
    </w:p>
    <w:p w14:paraId="00000011" w14:textId="77777777" w:rsidR="00CC0B88" w:rsidRDefault="002A46B9">
      <w:pPr>
        <w:numPr>
          <w:ilvl w:val="0"/>
          <w:numId w:val="2"/>
        </w:numPr>
        <w:rPr>
          <w:sz w:val="24"/>
          <w:szCs w:val="24"/>
        </w:rPr>
      </w:pPr>
      <w:r>
        <w:rPr>
          <w:sz w:val="24"/>
          <w:szCs w:val="24"/>
        </w:rPr>
        <w:t>Participation in a course-specific WRS teaching colloquium (for example, the WRTG 3014: Writing in the Sciences colloquium)</w:t>
      </w:r>
    </w:p>
    <w:p w14:paraId="00000012" w14:textId="77777777" w:rsidR="00CC0B88" w:rsidRDefault="002A46B9">
      <w:pPr>
        <w:numPr>
          <w:ilvl w:val="0"/>
          <w:numId w:val="2"/>
        </w:numPr>
        <w:rPr>
          <w:sz w:val="24"/>
          <w:szCs w:val="24"/>
        </w:rPr>
      </w:pPr>
      <w:r>
        <w:rPr>
          <w:sz w:val="24"/>
          <w:szCs w:val="24"/>
        </w:rPr>
        <w:t>Participation in certification programs or other substantive professional development programs in the specialized content area (for example, an RSA summer institute on the topic of rhetoric and gender signals expertise to teach WRTG 4970: Rhetorics of Gender)</w:t>
      </w:r>
    </w:p>
    <w:p w14:paraId="00000013" w14:textId="77777777" w:rsidR="00CC0B88" w:rsidRDefault="002A46B9">
      <w:pPr>
        <w:numPr>
          <w:ilvl w:val="0"/>
          <w:numId w:val="2"/>
        </w:numPr>
        <w:rPr>
          <w:sz w:val="24"/>
          <w:szCs w:val="24"/>
        </w:rPr>
      </w:pPr>
      <w:r>
        <w:rPr>
          <w:sz w:val="24"/>
          <w:szCs w:val="24"/>
        </w:rPr>
        <w:t>A letter of support from the WRS department chair outlining specific personal, professional, and/or scholarly experiences that constitute expertise in the specialized content area</w:t>
      </w:r>
    </w:p>
    <w:p w14:paraId="00000014" w14:textId="77777777" w:rsidR="00CC0B88" w:rsidRDefault="00CC0B88">
      <w:pPr>
        <w:rPr>
          <w:sz w:val="24"/>
          <w:szCs w:val="24"/>
        </w:rPr>
      </w:pPr>
    </w:p>
    <w:p w14:paraId="00000015" w14:textId="77777777" w:rsidR="00CC0B88" w:rsidRDefault="002A46B9" w:rsidP="005A3BE7">
      <w:pPr>
        <w:pStyle w:val="Heading2"/>
      </w:pPr>
      <w:r>
        <w:t>Developing Content Area Expertise</w:t>
      </w:r>
    </w:p>
    <w:p w14:paraId="00000016" w14:textId="77777777" w:rsidR="00CC0B88" w:rsidRDefault="002A46B9">
      <w:pPr>
        <w:rPr>
          <w:sz w:val="24"/>
          <w:szCs w:val="24"/>
        </w:rPr>
      </w:pPr>
      <w:r>
        <w:rPr>
          <w:sz w:val="24"/>
          <w:szCs w:val="24"/>
        </w:rPr>
        <w:t>Instructors who want to teach a specific 3000- or 4000-level course but do not yet have at least 2 of the above expertise qualifications can gain expertise in any of the following ways:</w:t>
      </w:r>
    </w:p>
    <w:p w14:paraId="00000017" w14:textId="77777777" w:rsidR="00CC0B88" w:rsidRDefault="002A46B9">
      <w:pPr>
        <w:numPr>
          <w:ilvl w:val="0"/>
          <w:numId w:val="3"/>
        </w:numPr>
        <w:rPr>
          <w:sz w:val="24"/>
          <w:szCs w:val="24"/>
        </w:rPr>
      </w:pPr>
      <w:r>
        <w:rPr>
          <w:sz w:val="24"/>
          <w:szCs w:val="24"/>
        </w:rPr>
        <w:t>Certification of completing a course-specific WRS teaching colloquium</w:t>
      </w:r>
    </w:p>
    <w:p w14:paraId="00000018" w14:textId="77777777" w:rsidR="00CC0B88" w:rsidRDefault="002A46B9">
      <w:pPr>
        <w:numPr>
          <w:ilvl w:val="0"/>
          <w:numId w:val="3"/>
        </w:numPr>
        <w:rPr>
          <w:sz w:val="24"/>
          <w:szCs w:val="24"/>
        </w:rPr>
      </w:pPr>
      <w:r>
        <w:rPr>
          <w:sz w:val="24"/>
          <w:szCs w:val="24"/>
        </w:rPr>
        <w:t xml:space="preserve">Passing a relevant graduate course </w:t>
      </w:r>
    </w:p>
    <w:p w14:paraId="00000019" w14:textId="77777777" w:rsidR="00CC0B88" w:rsidRDefault="002A46B9">
      <w:pPr>
        <w:numPr>
          <w:ilvl w:val="0"/>
          <w:numId w:val="3"/>
        </w:numPr>
        <w:rPr>
          <w:sz w:val="24"/>
          <w:szCs w:val="24"/>
        </w:rPr>
      </w:pPr>
      <w:r>
        <w:rPr>
          <w:sz w:val="24"/>
          <w:szCs w:val="24"/>
        </w:rPr>
        <w:t>Earned certification or other substantive professional development experience (e.g. a summer institute or online certification program)</w:t>
      </w:r>
    </w:p>
    <w:p w14:paraId="0000001A" w14:textId="77777777" w:rsidR="00CC0B88" w:rsidRDefault="00CC0B88">
      <w:pPr>
        <w:rPr>
          <w:sz w:val="24"/>
          <w:szCs w:val="24"/>
        </w:rPr>
      </w:pPr>
    </w:p>
    <w:p w14:paraId="0000001B" w14:textId="77777777" w:rsidR="00CC0B88" w:rsidRDefault="002A46B9" w:rsidP="005A3BE7">
      <w:pPr>
        <w:pStyle w:val="Heading2"/>
      </w:pPr>
      <w:r>
        <w:t>New Instructor Mentoring</w:t>
      </w:r>
    </w:p>
    <w:p w14:paraId="0000001C" w14:textId="77777777" w:rsidR="00CC0B88" w:rsidRDefault="002A46B9">
      <w:pPr>
        <w:rPr>
          <w:sz w:val="24"/>
          <w:szCs w:val="24"/>
        </w:rPr>
      </w:pPr>
      <w:r>
        <w:rPr>
          <w:sz w:val="24"/>
          <w:szCs w:val="24"/>
        </w:rPr>
        <w:t>In addition to fulfilling expertise requirements, all instructors who are teaching a 3000- or 4000-level course for the first time must participate in the department’s formal new course instructor mentoring process. Course mentors are appointed experts with significant scholarly grounding in the subject matter of the course and a documented record of excellent teaching the course.</w:t>
      </w:r>
    </w:p>
    <w:p w14:paraId="0000001D" w14:textId="77777777" w:rsidR="00CC0B88" w:rsidRDefault="00CC0B88">
      <w:pPr>
        <w:rPr>
          <w:sz w:val="24"/>
          <w:szCs w:val="24"/>
        </w:rPr>
      </w:pPr>
    </w:p>
    <w:p w14:paraId="0000001E" w14:textId="77777777" w:rsidR="00CC0B88" w:rsidRDefault="002A46B9">
      <w:pPr>
        <w:rPr>
          <w:sz w:val="24"/>
          <w:szCs w:val="24"/>
        </w:rPr>
      </w:pPr>
      <w:r>
        <w:rPr>
          <w:sz w:val="24"/>
          <w:szCs w:val="24"/>
        </w:rPr>
        <w:t>The new instructor mentoring process includes:</w:t>
      </w:r>
    </w:p>
    <w:p w14:paraId="0000001F" w14:textId="77777777" w:rsidR="00CC0B88" w:rsidRDefault="002A46B9">
      <w:pPr>
        <w:numPr>
          <w:ilvl w:val="0"/>
          <w:numId w:val="4"/>
        </w:numPr>
        <w:rPr>
          <w:sz w:val="24"/>
          <w:szCs w:val="24"/>
        </w:rPr>
      </w:pPr>
      <w:r>
        <w:rPr>
          <w:sz w:val="24"/>
          <w:szCs w:val="24"/>
        </w:rPr>
        <w:t xml:space="preserve">Two mentoring meetings with an experienced course instructor </w:t>
      </w:r>
      <w:r>
        <w:rPr>
          <w:sz w:val="24"/>
          <w:szCs w:val="24"/>
          <w:u w:val="single"/>
        </w:rPr>
        <w:t>prior</w:t>
      </w:r>
      <w:r>
        <w:rPr>
          <w:sz w:val="24"/>
          <w:szCs w:val="24"/>
        </w:rPr>
        <w:t xml:space="preserve"> to teaching the course:</w:t>
      </w:r>
    </w:p>
    <w:p w14:paraId="00000020" w14:textId="77777777" w:rsidR="00CC0B88" w:rsidRDefault="002A46B9">
      <w:pPr>
        <w:numPr>
          <w:ilvl w:val="1"/>
          <w:numId w:val="4"/>
        </w:numPr>
        <w:rPr>
          <w:sz w:val="24"/>
          <w:szCs w:val="24"/>
        </w:rPr>
      </w:pPr>
      <w:r>
        <w:rPr>
          <w:sz w:val="24"/>
          <w:szCs w:val="24"/>
        </w:rPr>
        <w:t>An initial meeting in which the mentor shares their curricular materials</w:t>
      </w:r>
    </w:p>
    <w:p w14:paraId="00000021" w14:textId="77777777" w:rsidR="00CC0B88" w:rsidRDefault="002A46B9">
      <w:pPr>
        <w:numPr>
          <w:ilvl w:val="1"/>
          <w:numId w:val="4"/>
        </w:numPr>
        <w:rPr>
          <w:sz w:val="24"/>
          <w:szCs w:val="24"/>
        </w:rPr>
      </w:pPr>
      <w:r>
        <w:rPr>
          <w:sz w:val="24"/>
          <w:szCs w:val="24"/>
        </w:rPr>
        <w:t>A follow-up meeting in which the mentor provides feedback on new instructor’s draft syllabus and course design</w:t>
      </w:r>
    </w:p>
    <w:p w14:paraId="00000022" w14:textId="77777777" w:rsidR="00CC0B88" w:rsidRDefault="002A46B9">
      <w:pPr>
        <w:numPr>
          <w:ilvl w:val="0"/>
          <w:numId w:val="4"/>
        </w:numPr>
        <w:rPr>
          <w:sz w:val="24"/>
          <w:szCs w:val="24"/>
        </w:rPr>
      </w:pPr>
      <w:r>
        <w:rPr>
          <w:sz w:val="24"/>
          <w:szCs w:val="24"/>
        </w:rPr>
        <w:lastRenderedPageBreak/>
        <w:t>Two documented mentoring meetings during the new instructor’s first semester teaching the course:</w:t>
      </w:r>
    </w:p>
    <w:p w14:paraId="00000023" w14:textId="77777777" w:rsidR="00CC0B88" w:rsidRDefault="002A46B9">
      <w:pPr>
        <w:numPr>
          <w:ilvl w:val="1"/>
          <w:numId w:val="4"/>
        </w:numPr>
        <w:rPr>
          <w:sz w:val="24"/>
          <w:szCs w:val="24"/>
        </w:rPr>
      </w:pPr>
      <w:r>
        <w:rPr>
          <w:sz w:val="24"/>
          <w:szCs w:val="24"/>
        </w:rPr>
        <w:t>One mid-semester meeting in which the mentor observes the new instructor’s teaching and offers formative feedback</w:t>
      </w:r>
    </w:p>
    <w:p w14:paraId="00000024" w14:textId="77777777" w:rsidR="00CC0B88" w:rsidRDefault="002A46B9">
      <w:pPr>
        <w:numPr>
          <w:ilvl w:val="1"/>
          <w:numId w:val="4"/>
        </w:numPr>
        <w:rPr>
          <w:sz w:val="24"/>
          <w:szCs w:val="24"/>
        </w:rPr>
      </w:pPr>
      <w:r>
        <w:rPr>
          <w:sz w:val="24"/>
          <w:szCs w:val="24"/>
        </w:rPr>
        <w:t>One documented end-of-semester debrief in which the mentor and new instructor discuss final course grades, lessons learned, and future improvements to the course</w:t>
      </w:r>
    </w:p>
    <w:p w14:paraId="00000025" w14:textId="77777777" w:rsidR="00CC0B88" w:rsidRDefault="00CC0B88">
      <w:pPr>
        <w:rPr>
          <w:sz w:val="24"/>
          <w:szCs w:val="24"/>
        </w:rPr>
      </w:pPr>
    </w:p>
    <w:p w14:paraId="00000026" w14:textId="77777777" w:rsidR="00CC0B88" w:rsidRDefault="00CC0B88">
      <w:pPr>
        <w:rPr>
          <w:b/>
          <w:sz w:val="24"/>
          <w:szCs w:val="24"/>
        </w:rPr>
      </w:pPr>
    </w:p>
    <w:p w14:paraId="00000027" w14:textId="77777777" w:rsidR="00CC0B88" w:rsidRDefault="00CC0B88">
      <w:pPr>
        <w:rPr>
          <w:b/>
          <w:sz w:val="24"/>
          <w:szCs w:val="24"/>
        </w:rPr>
      </w:pPr>
    </w:p>
    <w:p w14:paraId="00000028" w14:textId="77777777" w:rsidR="00CC0B88" w:rsidRDefault="002A46B9" w:rsidP="005A3BE7">
      <w:pPr>
        <w:pStyle w:val="Heading2"/>
      </w:pPr>
      <w:r>
        <w:t>Ongoing Professional Development</w:t>
      </w:r>
    </w:p>
    <w:p w14:paraId="00000029" w14:textId="77777777" w:rsidR="00CC0B88" w:rsidRDefault="002A46B9">
      <w:pPr>
        <w:rPr>
          <w:sz w:val="24"/>
          <w:szCs w:val="24"/>
        </w:rPr>
      </w:pPr>
      <w:r>
        <w:rPr>
          <w:sz w:val="24"/>
          <w:szCs w:val="24"/>
        </w:rPr>
        <w:t xml:space="preserve">Instructors are expected to continually refresh their content area expertise through any or </w:t>
      </w:r>
      <w:proofErr w:type="gramStart"/>
      <w:r>
        <w:rPr>
          <w:sz w:val="24"/>
          <w:szCs w:val="24"/>
        </w:rPr>
        <w:t>all of</w:t>
      </w:r>
      <w:proofErr w:type="gramEnd"/>
      <w:r>
        <w:rPr>
          <w:sz w:val="24"/>
          <w:szCs w:val="24"/>
        </w:rPr>
        <w:t xml:space="preserve"> the following activities:</w:t>
      </w:r>
    </w:p>
    <w:p w14:paraId="0000002A" w14:textId="77777777" w:rsidR="00CC0B88" w:rsidRDefault="002A46B9">
      <w:pPr>
        <w:numPr>
          <w:ilvl w:val="0"/>
          <w:numId w:val="1"/>
        </w:numPr>
        <w:rPr>
          <w:sz w:val="24"/>
          <w:szCs w:val="24"/>
        </w:rPr>
      </w:pPr>
      <w:r>
        <w:rPr>
          <w:sz w:val="24"/>
          <w:szCs w:val="24"/>
        </w:rPr>
        <w:t>Participating in course-specific WRS teaching colloquia</w:t>
      </w:r>
    </w:p>
    <w:p w14:paraId="0000002B" w14:textId="77777777" w:rsidR="00CC0B88" w:rsidRDefault="002A46B9">
      <w:pPr>
        <w:numPr>
          <w:ilvl w:val="0"/>
          <w:numId w:val="1"/>
        </w:numPr>
        <w:rPr>
          <w:sz w:val="24"/>
          <w:szCs w:val="24"/>
        </w:rPr>
      </w:pPr>
      <w:r>
        <w:rPr>
          <w:sz w:val="24"/>
          <w:szCs w:val="24"/>
        </w:rPr>
        <w:t>Taking graduate courses in the content area</w:t>
      </w:r>
    </w:p>
    <w:p w14:paraId="0000002C" w14:textId="77777777" w:rsidR="00CC0B88" w:rsidRDefault="002A46B9">
      <w:pPr>
        <w:numPr>
          <w:ilvl w:val="0"/>
          <w:numId w:val="1"/>
        </w:numPr>
        <w:rPr>
          <w:sz w:val="24"/>
          <w:szCs w:val="24"/>
        </w:rPr>
      </w:pPr>
      <w:r>
        <w:rPr>
          <w:sz w:val="24"/>
          <w:szCs w:val="24"/>
        </w:rPr>
        <w:t>Reading relevant academic and professional publications</w:t>
      </w:r>
    </w:p>
    <w:p w14:paraId="0000002D" w14:textId="77777777" w:rsidR="00CC0B88" w:rsidRDefault="002A46B9">
      <w:pPr>
        <w:numPr>
          <w:ilvl w:val="0"/>
          <w:numId w:val="1"/>
        </w:numPr>
        <w:rPr>
          <w:sz w:val="24"/>
          <w:szCs w:val="24"/>
        </w:rPr>
      </w:pPr>
      <w:r>
        <w:rPr>
          <w:sz w:val="24"/>
          <w:szCs w:val="24"/>
        </w:rPr>
        <w:t>Attending relevant conferences and other professional development events</w:t>
      </w:r>
    </w:p>
    <w:p w14:paraId="0000002E" w14:textId="77777777" w:rsidR="00CC0B88" w:rsidRDefault="002A46B9">
      <w:pPr>
        <w:numPr>
          <w:ilvl w:val="0"/>
          <w:numId w:val="1"/>
        </w:numPr>
        <w:rPr>
          <w:sz w:val="24"/>
          <w:szCs w:val="24"/>
        </w:rPr>
      </w:pPr>
      <w:r>
        <w:rPr>
          <w:sz w:val="24"/>
          <w:szCs w:val="24"/>
        </w:rPr>
        <w:t>Conducting and/or collaborating on research projects relevant to the content area</w:t>
      </w:r>
    </w:p>
    <w:p w14:paraId="0000002F" w14:textId="77777777" w:rsidR="00CC0B88" w:rsidRDefault="002A46B9">
      <w:pPr>
        <w:numPr>
          <w:ilvl w:val="0"/>
          <w:numId w:val="1"/>
        </w:numPr>
        <w:rPr>
          <w:sz w:val="24"/>
          <w:szCs w:val="24"/>
        </w:rPr>
      </w:pPr>
      <w:r>
        <w:rPr>
          <w:sz w:val="24"/>
          <w:szCs w:val="24"/>
        </w:rPr>
        <w:t>Presenting relevant research at conferences, symposia, or other events</w:t>
      </w:r>
    </w:p>
    <w:p w14:paraId="00000030" w14:textId="77777777" w:rsidR="00CC0B88" w:rsidRDefault="002A46B9">
      <w:pPr>
        <w:numPr>
          <w:ilvl w:val="0"/>
          <w:numId w:val="1"/>
        </w:numPr>
        <w:rPr>
          <w:sz w:val="24"/>
          <w:szCs w:val="24"/>
        </w:rPr>
      </w:pPr>
      <w:r>
        <w:rPr>
          <w:sz w:val="24"/>
          <w:szCs w:val="24"/>
        </w:rPr>
        <w:t>Publishing in the content area</w:t>
      </w:r>
    </w:p>
    <w:p w14:paraId="00000031" w14:textId="77777777" w:rsidR="00CC0B88" w:rsidRDefault="002A46B9">
      <w:pPr>
        <w:numPr>
          <w:ilvl w:val="0"/>
          <w:numId w:val="1"/>
        </w:numPr>
        <w:rPr>
          <w:sz w:val="24"/>
          <w:szCs w:val="24"/>
        </w:rPr>
      </w:pPr>
      <w:r>
        <w:rPr>
          <w:sz w:val="24"/>
          <w:szCs w:val="24"/>
        </w:rPr>
        <w:t>Participating in relevant industry activities</w:t>
      </w:r>
    </w:p>
    <w:p w14:paraId="00000032" w14:textId="77777777" w:rsidR="00CC0B88" w:rsidRDefault="00CC0B88">
      <w:pPr>
        <w:rPr>
          <w:sz w:val="24"/>
          <w:szCs w:val="24"/>
        </w:rPr>
      </w:pPr>
    </w:p>
    <w:p w14:paraId="00000033" w14:textId="77777777" w:rsidR="00CC0B88" w:rsidRDefault="002A46B9">
      <w:r>
        <w:rPr>
          <w:sz w:val="24"/>
          <w:szCs w:val="24"/>
        </w:rPr>
        <w:t>Participation in such ongoing professional development should be documented as part of annual faculty activity reporting.</w:t>
      </w:r>
    </w:p>
    <w:sectPr w:rsidR="00CC0B8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5B04"/>
    <w:multiLevelType w:val="multilevel"/>
    <w:tmpl w:val="FAC86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6D6793"/>
    <w:multiLevelType w:val="multilevel"/>
    <w:tmpl w:val="74A43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CF0634"/>
    <w:multiLevelType w:val="multilevel"/>
    <w:tmpl w:val="4D425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BC051C"/>
    <w:multiLevelType w:val="multilevel"/>
    <w:tmpl w:val="7DCA45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0656257">
    <w:abstractNumId w:val="3"/>
  </w:num>
  <w:num w:numId="2" w16cid:durableId="975333224">
    <w:abstractNumId w:val="2"/>
  </w:num>
  <w:num w:numId="3" w16cid:durableId="1843466496">
    <w:abstractNumId w:val="0"/>
  </w:num>
  <w:num w:numId="4" w16cid:durableId="38476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88"/>
    <w:rsid w:val="002A46B9"/>
    <w:rsid w:val="00565039"/>
    <w:rsid w:val="005A3BE7"/>
    <w:rsid w:val="00CC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E692"/>
  <w15:docId w15:val="{924B17BF-BE0E-4274-BC6C-E409EC1E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1F3D-CA81-447D-92BD-C2DF2B47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4489</Characters>
  <Application>Microsoft Office Word</Application>
  <DocSecurity>0</DocSecurity>
  <Lines>93</Lines>
  <Paragraphs>47</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Hailey Densley</dc:creator>
  <cp:lastModifiedBy>Hailey Densley</cp:lastModifiedBy>
  <cp:revision>2</cp:revision>
  <dcterms:created xsi:type="dcterms:W3CDTF">2026-04-07T20:27:00Z</dcterms:created>
  <dcterms:modified xsi:type="dcterms:W3CDTF">2026-04-07T20:27:00Z</dcterms:modified>
</cp:coreProperties>
</file>